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018B">
        <w:rPr>
          <w:rFonts w:ascii="Arial" w:hAnsi="Arial" w:cs="Arial"/>
          <w:b/>
          <w:bCs/>
          <w:sz w:val="20"/>
          <w:szCs w:val="20"/>
        </w:rPr>
        <w:t>Verbale dell’Assemblea ordinaria dei Soci del 4 maggio 2012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35018B">
        <w:rPr>
          <w:rFonts w:ascii="Arial" w:hAnsi="Arial" w:cs="Arial"/>
          <w:b/>
          <w:bCs/>
          <w:sz w:val="20"/>
          <w:szCs w:val="20"/>
        </w:rPr>
        <w:t>della</w:t>
      </w:r>
      <w:proofErr w:type="gramEnd"/>
      <w:r w:rsidRPr="0035018B">
        <w:rPr>
          <w:rFonts w:ascii="Arial" w:hAnsi="Arial" w:cs="Arial"/>
          <w:b/>
          <w:bCs/>
          <w:sz w:val="20"/>
          <w:szCs w:val="20"/>
        </w:rPr>
        <w:t xml:space="preserve"> Società GEA – Gestioni Ecologiche e Ambientali S.p.A.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Il giorno 4 maggio 2012, alle ore 18.35, presso la Sala Rossa del Comune di Pordenone, si è riunita l’Assemblea Ordinaria dei Soci di GEA – Gestioni Ecologiche e Ambientali S.p.A., all’uopo convocata con avviso comunicato a mezzo lettera raccomandata del 17 aprile 2012 per la trattazione del seguente: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018B">
        <w:rPr>
          <w:rFonts w:ascii="Arial" w:hAnsi="Arial" w:cs="Arial"/>
          <w:b/>
          <w:bCs/>
          <w:sz w:val="20"/>
          <w:szCs w:val="20"/>
        </w:rPr>
        <w:t>ORDINE DEL GIORNO</w:t>
      </w:r>
    </w:p>
    <w:p w:rsidR="007F1143" w:rsidRPr="0035018B" w:rsidRDefault="007F1143" w:rsidP="0035018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Approvazione del bilancio d’esercizio al 31 dicembre 2011 e relative deliberazioni;</w:t>
      </w:r>
    </w:p>
    <w:p w:rsidR="007F1143" w:rsidRPr="0035018B" w:rsidRDefault="007F1143" w:rsidP="0035018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Determinazioni circa la destinazione del risultato di esercizio;</w:t>
      </w:r>
    </w:p>
    <w:p w:rsidR="007F1143" w:rsidRPr="0035018B" w:rsidRDefault="007F1143" w:rsidP="0035018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Determinazioni del numero dei componenti l’Organo amministrativo, a norma dell’art. 31 comma 1 dello Statuto societario;</w:t>
      </w:r>
    </w:p>
    <w:p w:rsidR="007F1143" w:rsidRPr="0035018B" w:rsidRDefault="007B09B8" w:rsidP="0035018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 dei membri dell’</w:t>
      </w:r>
      <w:r w:rsidR="007F1143" w:rsidRPr="0035018B">
        <w:rPr>
          <w:rFonts w:ascii="Arial" w:hAnsi="Arial" w:cs="Arial"/>
          <w:sz w:val="20"/>
          <w:szCs w:val="20"/>
        </w:rPr>
        <w:t>Organo amministrativo, a norma dell’art. 32 dello Statuto societario;</w:t>
      </w:r>
    </w:p>
    <w:p w:rsidR="007F1143" w:rsidRPr="0035018B" w:rsidRDefault="007F1143" w:rsidP="0035018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Determinazione dei compensi dei membri dell’Organo amministrativo;</w:t>
      </w:r>
    </w:p>
    <w:p w:rsidR="007F1143" w:rsidRPr="0035018B" w:rsidRDefault="007F1143" w:rsidP="0035018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Nomina del membro effettivo e del membro supplente del Collegio sindacale di competenza dell’Assemblea dei Soci a norma dell’art. 41 dello Statuto societario;</w:t>
      </w:r>
    </w:p>
    <w:p w:rsidR="007F1143" w:rsidRPr="0035018B" w:rsidRDefault="007F1143" w:rsidP="0035018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Determinazione dei compensi spettanti ai membri del Collegio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 xml:space="preserve">Assume la presidenza dell’Assemblea, a norma di Statuto, l’Amministratore unico, dott. Marco Tullio </w:t>
      </w:r>
      <w:proofErr w:type="spellStart"/>
      <w:r w:rsidRPr="0035018B">
        <w:rPr>
          <w:rFonts w:ascii="Arial" w:hAnsi="Arial" w:cs="Arial"/>
          <w:sz w:val="20"/>
          <w:szCs w:val="20"/>
        </w:rPr>
        <w:t>Petrangelo</w:t>
      </w:r>
      <w:proofErr w:type="spellEnd"/>
      <w:r w:rsidRPr="0035018B">
        <w:rPr>
          <w:rFonts w:ascii="Arial" w:hAnsi="Arial" w:cs="Arial"/>
          <w:sz w:val="20"/>
          <w:szCs w:val="20"/>
        </w:rPr>
        <w:t>, il quale constata e dà atto:</w:t>
      </w:r>
    </w:p>
    <w:p w:rsidR="007F1143" w:rsidRPr="0035018B" w:rsidRDefault="007F1143" w:rsidP="004E7ED9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 xml:space="preserve">a) </w:t>
      </w:r>
      <w:r w:rsid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>che l'odierna Assemblea è di seconda convocazione essendo la prima, fissata per il giorno 27 aprile 2012, andata deserta, come risulta da verbale trascritto sul libro verbali assemblee;</w:t>
      </w:r>
    </w:p>
    <w:p w:rsidR="007F1143" w:rsidRPr="0035018B" w:rsidRDefault="007F1143" w:rsidP="004E7ED9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 xml:space="preserve">b) </w:t>
      </w:r>
      <w:r w:rsid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>che sono presenti, in rappresentanza dei seguenti Comuni soci i Signori: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 xml:space="preserve">I. Sandro </w:t>
      </w:r>
      <w:proofErr w:type="spellStart"/>
      <w:r w:rsidRPr="0035018B">
        <w:rPr>
          <w:rFonts w:ascii="Arial" w:hAnsi="Arial" w:cs="Arial"/>
          <w:sz w:val="20"/>
          <w:szCs w:val="20"/>
        </w:rPr>
        <w:t>Cao</w:t>
      </w:r>
      <w:proofErr w:type="spellEnd"/>
      <w:r w:rsidRPr="0035018B">
        <w:rPr>
          <w:rFonts w:ascii="Arial" w:hAnsi="Arial" w:cs="Arial"/>
          <w:sz w:val="20"/>
          <w:szCs w:val="20"/>
        </w:rPr>
        <w:t xml:space="preserve"> </w:t>
      </w:r>
      <w:r w:rsidR="0035018B">
        <w:rPr>
          <w:rFonts w:ascii="Arial" w:hAnsi="Arial" w:cs="Arial"/>
          <w:sz w:val="20"/>
          <w:szCs w:val="20"/>
        </w:rPr>
        <w:tab/>
      </w:r>
      <w:r w:rsidR="0035018B">
        <w:rPr>
          <w:rFonts w:ascii="Arial" w:hAnsi="Arial" w:cs="Arial"/>
          <w:sz w:val="20"/>
          <w:szCs w:val="20"/>
        </w:rPr>
        <w:tab/>
      </w:r>
      <w:r w:rsid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>Caneva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 xml:space="preserve">II. </w:t>
      </w:r>
      <w:proofErr w:type="spellStart"/>
      <w:r w:rsidRPr="0035018B">
        <w:rPr>
          <w:rFonts w:ascii="Arial" w:hAnsi="Arial" w:cs="Arial"/>
          <w:sz w:val="20"/>
          <w:szCs w:val="20"/>
        </w:rPr>
        <w:t>Pieromano</w:t>
      </w:r>
      <w:proofErr w:type="spellEnd"/>
      <w:r w:rsidRPr="0035018B">
        <w:rPr>
          <w:rFonts w:ascii="Arial" w:hAnsi="Arial" w:cs="Arial"/>
          <w:sz w:val="20"/>
          <w:szCs w:val="20"/>
        </w:rPr>
        <w:t xml:space="preserve"> Anselmi </w:t>
      </w:r>
      <w:r w:rsidR="0035018B">
        <w:rPr>
          <w:rFonts w:ascii="Arial" w:hAnsi="Arial" w:cs="Arial"/>
          <w:sz w:val="20"/>
          <w:szCs w:val="20"/>
        </w:rPr>
        <w:tab/>
      </w:r>
      <w:r w:rsid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>Montereale Valcellina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 xml:space="preserve">III. Raffaele </w:t>
      </w:r>
      <w:proofErr w:type="spellStart"/>
      <w:r w:rsidRPr="0035018B">
        <w:rPr>
          <w:rFonts w:ascii="Arial" w:hAnsi="Arial" w:cs="Arial"/>
          <w:sz w:val="20"/>
          <w:szCs w:val="20"/>
        </w:rPr>
        <w:t>Millin</w:t>
      </w:r>
      <w:proofErr w:type="spellEnd"/>
      <w:r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ab/>
        <w:t>Pinzano al Tagliamento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 xml:space="preserve">IV. Claudio Pedrotti </w:t>
      </w:r>
      <w:r w:rsidRP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ab/>
        <w:t>Pordenone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 xml:space="preserve">V. Ezio </w:t>
      </w:r>
      <w:proofErr w:type="spellStart"/>
      <w:r w:rsidRPr="0035018B">
        <w:rPr>
          <w:rFonts w:ascii="Arial" w:hAnsi="Arial" w:cs="Arial"/>
          <w:sz w:val="20"/>
          <w:szCs w:val="20"/>
        </w:rPr>
        <w:t>Rossit</w:t>
      </w:r>
      <w:proofErr w:type="spellEnd"/>
      <w:r w:rsidRPr="0035018B">
        <w:rPr>
          <w:rFonts w:ascii="Arial" w:hAnsi="Arial" w:cs="Arial"/>
          <w:sz w:val="20"/>
          <w:szCs w:val="20"/>
        </w:rPr>
        <w:t xml:space="preserve"> </w:t>
      </w:r>
      <w:r w:rsidR="0035018B">
        <w:rPr>
          <w:rFonts w:ascii="Arial" w:hAnsi="Arial" w:cs="Arial"/>
          <w:sz w:val="20"/>
          <w:szCs w:val="20"/>
        </w:rPr>
        <w:tab/>
      </w:r>
      <w:r w:rsidR="0035018B">
        <w:rPr>
          <w:rFonts w:ascii="Arial" w:hAnsi="Arial" w:cs="Arial"/>
          <w:sz w:val="20"/>
          <w:szCs w:val="20"/>
        </w:rPr>
        <w:tab/>
      </w:r>
      <w:r w:rsid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>Roveredo in Piano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 xml:space="preserve">VI. Enrico Odorico </w:t>
      </w:r>
      <w:r w:rsidRP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ab/>
        <w:t>Sequals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 xml:space="preserve">VII. Silvano </w:t>
      </w:r>
      <w:proofErr w:type="spellStart"/>
      <w:r w:rsidRPr="0035018B">
        <w:rPr>
          <w:rFonts w:ascii="Arial" w:hAnsi="Arial" w:cs="Arial"/>
          <w:sz w:val="20"/>
          <w:szCs w:val="20"/>
        </w:rPr>
        <w:t>Pillin</w:t>
      </w:r>
      <w:proofErr w:type="spellEnd"/>
      <w:r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ab/>
        <w:t>Spilimbergo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35018B">
        <w:rPr>
          <w:rFonts w:ascii="Arial" w:hAnsi="Arial" w:cs="Arial"/>
          <w:sz w:val="20"/>
          <w:szCs w:val="20"/>
        </w:rPr>
        <w:t>ossia</w:t>
      </w:r>
      <w:proofErr w:type="gramEnd"/>
      <w:r w:rsidRPr="0035018B">
        <w:rPr>
          <w:rFonts w:ascii="Arial" w:hAnsi="Arial" w:cs="Arial"/>
          <w:sz w:val="20"/>
          <w:szCs w:val="20"/>
        </w:rPr>
        <w:t xml:space="preserve"> numero 7 Soci rappresentanti il 98,952% (euro 881.496) del capitale sociale di GEA spa.</w:t>
      </w:r>
    </w:p>
    <w:p w:rsidR="007F1143" w:rsidRPr="004E7ED9" w:rsidRDefault="007F1143" w:rsidP="004E7ED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4E7ED9">
        <w:rPr>
          <w:rFonts w:ascii="Arial" w:hAnsi="Arial" w:cs="Arial"/>
          <w:sz w:val="20"/>
          <w:szCs w:val="20"/>
        </w:rPr>
        <w:t>che</w:t>
      </w:r>
      <w:proofErr w:type="gramEnd"/>
      <w:r w:rsidRPr="004E7ED9">
        <w:rPr>
          <w:rFonts w:ascii="Arial" w:hAnsi="Arial" w:cs="Arial"/>
          <w:sz w:val="20"/>
          <w:szCs w:val="20"/>
        </w:rPr>
        <w:t xml:space="preserve"> sono presenti i Sindaci effettivi Signori: dott. Pierluigi </w:t>
      </w:r>
      <w:proofErr w:type="spellStart"/>
      <w:r w:rsidRPr="004E7ED9">
        <w:rPr>
          <w:rFonts w:ascii="Arial" w:hAnsi="Arial" w:cs="Arial"/>
          <w:sz w:val="20"/>
          <w:szCs w:val="20"/>
        </w:rPr>
        <w:t>Ceciliot</w:t>
      </w:r>
      <w:proofErr w:type="spellEnd"/>
      <w:r w:rsidRPr="004E7ED9">
        <w:rPr>
          <w:rFonts w:ascii="Arial" w:hAnsi="Arial" w:cs="Arial"/>
          <w:sz w:val="20"/>
          <w:szCs w:val="20"/>
        </w:rPr>
        <w:t xml:space="preserve"> – Presidente e il rag. Alfredo </w:t>
      </w:r>
      <w:proofErr w:type="spellStart"/>
      <w:r w:rsidRPr="004E7ED9">
        <w:rPr>
          <w:rFonts w:ascii="Arial" w:hAnsi="Arial" w:cs="Arial"/>
          <w:sz w:val="20"/>
          <w:szCs w:val="20"/>
        </w:rPr>
        <w:t>Boenco</w:t>
      </w:r>
      <w:proofErr w:type="spellEnd"/>
      <w:r w:rsidRPr="004E7ED9">
        <w:rPr>
          <w:rFonts w:ascii="Arial" w:hAnsi="Arial" w:cs="Arial"/>
          <w:sz w:val="20"/>
          <w:szCs w:val="20"/>
        </w:rPr>
        <w:t>.</w:t>
      </w:r>
    </w:p>
    <w:p w:rsidR="007F1143" w:rsidRPr="004E7ED9" w:rsidRDefault="007F1143" w:rsidP="004E7ED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4E7ED9">
        <w:rPr>
          <w:rFonts w:ascii="Arial" w:hAnsi="Arial" w:cs="Arial"/>
          <w:sz w:val="20"/>
          <w:szCs w:val="20"/>
        </w:rPr>
        <w:lastRenderedPageBreak/>
        <w:t>che</w:t>
      </w:r>
      <w:proofErr w:type="gramEnd"/>
      <w:r w:rsidRPr="004E7ED9">
        <w:rPr>
          <w:rFonts w:ascii="Arial" w:hAnsi="Arial" w:cs="Arial"/>
          <w:sz w:val="20"/>
          <w:szCs w:val="20"/>
        </w:rPr>
        <w:t xml:space="preserve"> a sensi di legge e di statuto, l'odierna Assemblea può ritenersi, per le presenze come sopra, regolarmente costituita e atta a deliberare sull'oggetto all'Ordine del giorno.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Il Presidente, a norma dell’art. 27, secondo comma, dello Statuto, propone all’Assemblea di designare quale Segretario dell’Assemblea stessa la dott.ssa Giulia Santin.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L’Assemblea, all’unanimità dei presenti, approva.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Il Presidente passa quindi allo svolgimento dell'indicato Ordine del giorno che si articola come segue: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A - Relazione dell’Amministratore unico sulla gestione e Bilancio di esercizio.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5018B">
        <w:rPr>
          <w:rFonts w:ascii="Arial" w:hAnsi="Arial" w:cs="Arial"/>
          <w:b/>
          <w:bCs/>
          <w:sz w:val="20"/>
          <w:szCs w:val="20"/>
          <w:u w:val="single"/>
        </w:rPr>
        <w:t>1) APPROVAZIONE DEL BILANCIO AL 31 DICEMBRE 2011 E RELATIVE DELIBERAZIONI</w:t>
      </w:r>
    </w:p>
    <w:p w:rsidR="004E7ED9" w:rsidRDefault="004E7ED9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</w:p>
    <w:p w:rsidR="007F1143" w:rsidRDefault="004E7ED9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4E7ED9">
        <w:rPr>
          <w:rFonts w:ascii="Arial" w:hAnsi="Arial" w:cs="Arial"/>
          <w:i/>
          <w:sz w:val="20"/>
          <w:szCs w:val="20"/>
        </w:rPr>
        <w:t>Omissis</w:t>
      </w:r>
    </w:p>
    <w:p w:rsidR="004E7ED9" w:rsidRPr="004E7ED9" w:rsidRDefault="004E7ED9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5018B">
        <w:rPr>
          <w:rFonts w:ascii="Arial" w:hAnsi="Arial" w:cs="Arial"/>
          <w:b/>
          <w:bCs/>
          <w:sz w:val="20"/>
          <w:szCs w:val="20"/>
          <w:u w:val="single"/>
        </w:rPr>
        <w:t>2) DETERMINAZIONE CIRCA LA DESTINAZIONE DEL RISULTATO DI ESERCIZIO.</w:t>
      </w:r>
    </w:p>
    <w:p w:rsidR="004E7ED9" w:rsidRDefault="004E7ED9" w:rsidP="004E7ED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</w:p>
    <w:p w:rsidR="004E7ED9" w:rsidRDefault="004E7ED9" w:rsidP="004E7ED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4E7ED9">
        <w:rPr>
          <w:rFonts w:ascii="Arial" w:hAnsi="Arial" w:cs="Arial"/>
          <w:i/>
          <w:sz w:val="20"/>
          <w:szCs w:val="20"/>
        </w:rPr>
        <w:t>Omissis</w:t>
      </w:r>
    </w:p>
    <w:p w:rsidR="007B09B8" w:rsidRDefault="007B09B8" w:rsidP="004E7ED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7B09B8" w:rsidRDefault="007B09B8" w:rsidP="004E7ED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09B8">
        <w:rPr>
          <w:rFonts w:ascii="Arial" w:hAnsi="Arial" w:cs="Arial"/>
          <w:b/>
          <w:sz w:val="20"/>
          <w:szCs w:val="20"/>
          <w:u w:val="single"/>
        </w:rPr>
        <w:t>3) DETERMINAZIONI DEL NUMERO DEI COMPONENTI L’ORGANO AMMINISTRATIVO, A NORMA DELL’ART. 31 COMMA 1 DELLO STATUTO SOCIETARIO</w:t>
      </w:r>
    </w:p>
    <w:p w:rsidR="007B09B8" w:rsidRDefault="007B09B8" w:rsidP="004E7ED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09B8" w:rsidRPr="007B09B8" w:rsidRDefault="007B09B8" w:rsidP="004E7ED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Omissis</w:t>
      </w:r>
      <w:bookmarkStart w:id="0" w:name="_GoBack"/>
      <w:bookmarkEnd w:id="0"/>
    </w:p>
    <w:p w:rsidR="004E7ED9" w:rsidRPr="004E7ED9" w:rsidRDefault="004E7ED9" w:rsidP="004E7ED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</w:p>
    <w:p w:rsidR="0035018B" w:rsidRPr="0035018B" w:rsidRDefault="0035018B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5018B">
        <w:rPr>
          <w:rFonts w:ascii="Arial" w:hAnsi="Arial" w:cs="Arial"/>
          <w:b/>
          <w:bCs/>
          <w:sz w:val="20"/>
          <w:szCs w:val="20"/>
          <w:u w:val="single"/>
        </w:rPr>
        <w:t>4) NOMINA DEI MEMBRI DELL’ ORGANO AMMINISTRATIVO, A NORMA DELL’ART. 32 DELLO STATUTO SOCIETARIO.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Il Presidente fa presente all’Assemblea che, a norma dell’art. 32 dello Statuto, la nomina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dell’Amministratore unico potrà essere effettuata all’unanimità per acclamazione su proposta di uno dei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Soci, oppure, in mancanza, sulla base di nominativi proposti liberamente dai Soci, e che risulterà eletto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quello di essi che otterrà la maggioranza dei voti ragguagliati alla quota sociale detenuta da ogni Socio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votante.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Chiede la parola, e il Presidente gliela concede, il Sindaco del Comune di Pordenone, Claudio Pedrotti. In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qualità di Presidente del Consiglio dei Rappresentanti dei Comuni, ricorda che sull’argomento si è in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precedenza svolta la riunione del CRC in esecuzione dell’art. 30 dello Statuto di GEA s.p.a. che regola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l’esercizio del controllo analogo da parte dei Soci.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lastRenderedPageBreak/>
        <w:t>Propone, quindi, di porre in votazione, senza indugio e necessità di discussione, gli indirizzi testé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approvati in quella sede dai Sindaci dei Comuni Soci in relazione alla nomina dell’Amministratore unico.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A tal riguardo avanza candidatura del dott. Luca Mariotto quale Amministratore unico per il triennio 2012-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2014, scelto come candidato da proporre all’Assemblea per l’eccellenza del curriculum tra le numerose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candidature presentate ai sensi dell’avviso n. 26829, pubblicato il 13 aprile 2012 sul sito del Comune di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Pordenone, in osservanza alla delibera n. 4 del consiglio comunale approvata nella seduta del 13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febbraio 2012.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Il Presidente chiede se qualche altro Socio intenda proporre delle ulteriori candidature.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Nessun nominativo viene proposto dai Soci presenti e, pertanto, l’Assemblea dei Soci, per acclamazione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018B">
        <w:rPr>
          <w:rFonts w:ascii="Arial" w:hAnsi="Arial" w:cs="Arial"/>
          <w:b/>
          <w:bCs/>
          <w:sz w:val="20"/>
          <w:szCs w:val="20"/>
        </w:rPr>
        <w:t>D E L I B E R A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35018B">
        <w:rPr>
          <w:rFonts w:ascii="Arial" w:hAnsi="Arial" w:cs="Arial"/>
          <w:b/>
          <w:bCs/>
          <w:sz w:val="20"/>
          <w:szCs w:val="20"/>
        </w:rPr>
        <w:t>all’unanimità</w:t>
      </w:r>
      <w:proofErr w:type="gramEnd"/>
      <w:r w:rsidRPr="0035018B">
        <w:rPr>
          <w:rFonts w:ascii="Arial" w:hAnsi="Arial" w:cs="Arial"/>
          <w:b/>
          <w:bCs/>
          <w:sz w:val="20"/>
          <w:szCs w:val="20"/>
        </w:rPr>
        <w:t xml:space="preserve"> dei presenti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5018B">
        <w:rPr>
          <w:rFonts w:ascii="Arial" w:hAnsi="Arial" w:cs="Arial"/>
          <w:sz w:val="20"/>
          <w:szCs w:val="20"/>
        </w:rPr>
        <w:t>di</w:t>
      </w:r>
      <w:proofErr w:type="gramEnd"/>
      <w:r w:rsidRPr="0035018B">
        <w:rPr>
          <w:rFonts w:ascii="Arial" w:hAnsi="Arial" w:cs="Arial"/>
          <w:sz w:val="20"/>
          <w:szCs w:val="20"/>
        </w:rPr>
        <w:t xml:space="preserve"> eleggere alla carica di Amministratore unico di GEA spa per il triennio 2012-2014 il dott. Luca Mariotto.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Il Presidente, ricorda che l’argomento all’Ordine del giorno discende dalla previsione dell’articolo 37 dello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Statuto, secondo il quale l’Assemblea determina il compenso degli Amministratori.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018B">
        <w:rPr>
          <w:rFonts w:ascii="Arial" w:hAnsi="Arial" w:cs="Arial"/>
          <w:b/>
          <w:bCs/>
          <w:sz w:val="20"/>
          <w:szCs w:val="20"/>
        </w:rPr>
        <w:t>5) DETERMINAZIONE DEI COMPENSI DEI MEMBRI DELL’ORGANO AMMINISTRATIVO.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Chiede la parola, e il Presidente gliela concede, il Sindaco del Comune di Pordenone, Claudio Pedrotti. In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qualità di Presidente del Consiglio dei Rappresentanti dei Comuni, ribadisce che sull’argomento si è in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precedenza svolta la riunione del CRC in esecuzione dell’art. 30 dello Statuto di GEA s.p.a. che regola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l’esercizio del controllo analogo da parte dei Soci.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Propone, quindi, di porre in votazione, senza indugio e necessità di discussione, gli indirizzi testé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approvati in quella sede dai Sindaci dei Comuni Soci in relazione alla remunerazione da attribuirsi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all’Amministratore unico nella misura di:</w:t>
      </w:r>
    </w:p>
    <w:p w:rsidR="007F1143" w:rsidRPr="0035018B" w:rsidRDefault="007F1143" w:rsidP="003501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39.403,00 euro annui</w:t>
      </w:r>
    </w:p>
    <w:p w:rsidR="007F1143" w:rsidRPr="0035018B" w:rsidRDefault="007F1143" w:rsidP="003501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15.000,00 euro annui, aggiuntivi al compenso sopra riferito, a titolo di indennità di risultato in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caso di bilanci chiusi in utile e contestuale raggiungimento degli obbiettivi di risultato,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annualmente assegnati dal Consiglio dei rappresentanti dei Comuni su proposta del Gruppo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tecnico di valutazione.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Il Presidente, quindi, pone ai voti la proposta avanzata dal Sindaco del Comune di Pordenone e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Presidente del CRC e l’Assemblea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018B">
        <w:rPr>
          <w:rFonts w:ascii="Arial" w:hAnsi="Arial" w:cs="Arial"/>
          <w:b/>
          <w:bCs/>
          <w:sz w:val="20"/>
          <w:szCs w:val="20"/>
        </w:rPr>
        <w:t>D E L I B E R A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35018B">
        <w:rPr>
          <w:rFonts w:ascii="Arial" w:hAnsi="Arial" w:cs="Arial"/>
          <w:b/>
          <w:bCs/>
          <w:sz w:val="20"/>
          <w:szCs w:val="20"/>
        </w:rPr>
        <w:t>all’unanimità</w:t>
      </w:r>
      <w:proofErr w:type="gramEnd"/>
      <w:r w:rsidRPr="0035018B">
        <w:rPr>
          <w:rFonts w:ascii="Arial" w:hAnsi="Arial" w:cs="Arial"/>
          <w:b/>
          <w:bCs/>
          <w:sz w:val="20"/>
          <w:szCs w:val="20"/>
        </w:rPr>
        <w:t xml:space="preserve"> dei presenti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5018B">
        <w:rPr>
          <w:rFonts w:ascii="Arial" w:hAnsi="Arial" w:cs="Arial"/>
          <w:sz w:val="20"/>
          <w:szCs w:val="20"/>
        </w:rPr>
        <w:t>di</w:t>
      </w:r>
      <w:proofErr w:type="gramEnd"/>
      <w:r w:rsidRPr="0035018B">
        <w:rPr>
          <w:rFonts w:ascii="Arial" w:hAnsi="Arial" w:cs="Arial"/>
          <w:sz w:val="20"/>
          <w:szCs w:val="20"/>
        </w:rPr>
        <w:t xml:space="preserve"> attribuire alla carica di Amministratore unico un compenso di:</w:t>
      </w:r>
    </w:p>
    <w:p w:rsidR="007F1143" w:rsidRPr="0035018B" w:rsidRDefault="007F1143" w:rsidP="0035018B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lastRenderedPageBreak/>
        <w:t>39.403,00 euro annui</w:t>
      </w:r>
    </w:p>
    <w:p w:rsidR="007F1143" w:rsidRPr="0035018B" w:rsidRDefault="007F1143" w:rsidP="0035018B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15.000,00 euro annui, aggiuntivi al compenso sopra riferito, a titolo di indennità di risultato in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caso di bilanci chiusi in utile e contestuale raggiungimento degli obbiettivi di risultato,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annualmente assegnati dal Consiglio dei rappresentanti dei Comuni su proposta del Gruppo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tecnico di valutazione.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Il Presidente informa l’Assemblea di aver ricevuto dal Sindaco del Comune di Pordenone, Socio che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detiene la maggioranza assoluta dei diritti di voto, a norma dell’art. 41 dello Statuto, la nomina dei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componenti effettivi, tra cui il Presidente, e supplenti del Collegio Sindacale la cui nomina avviene a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norma dell’art. 2449 del Codice civile ed è riservata alla propria pertinenza e invita il Sindaco a darne</w:t>
      </w:r>
      <w:r w:rsidR="0035018B" w:rsidRPr="0035018B">
        <w:rPr>
          <w:rFonts w:ascii="Arial" w:hAnsi="Arial" w:cs="Arial"/>
          <w:sz w:val="20"/>
          <w:szCs w:val="20"/>
        </w:rPr>
        <w:t xml:space="preserve"> </w:t>
      </w:r>
      <w:r w:rsidRPr="0035018B">
        <w:rPr>
          <w:rFonts w:ascii="Arial" w:hAnsi="Arial" w:cs="Arial"/>
          <w:sz w:val="20"/>
          <w:szCs w:val="20"/>
        </w:rPr>
        <w:t>lettura all’Assemblea.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5018B">
        <w:rPr>
          <w:rFonts w:ascii="Arial" w:hAnsi="Arial" w:cs="Arial"/>
          <w:b/>
          <w:bCs/>
          <w:sz w:val="20"/>
          <w:szCs w:val="20"/>
          <w:u w:val="single"/>
        </w:rPr>
        <w:t>6) NOMINA DEL MEMBRO EFFETTIVO E DEL MEMBRO SUPPLENTE DEL COLLEGIO SINDACALE</w:t>
      </w:r>
      <w:r w:rsidR="0035018B" w:rsidRPr="0035018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5018B">
        <w:rPr>
          <w:rFonts w:ascii="Arial" w:hAnsi="Arial" w:cs="Arial"/>
          <w:b/>
          <w:bCs/>
          <w:sz w:val="20"/>
          <w:szCs w:val="20"/>
          <w:u w:val="single"/>
        </w:rPr>
        <w:t>DI COMPETENZA DELL’ASSEMBLEA DEI SOCI A NORMA DELL’ART. 41 DELLO STATUTO</w:t>
      </w:r>
      <w:r w:rsidR="0035018B" w:rsidRPr="0035018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5018B">
        <w:rPr>
          <w:rFonts w:ascii="Arial" w:hAnsi="Arial" w:cs="Arial"/>
          <w:b/>
          <w:bCs/>
          <w:sz w:val="20"/>
          <w:szCs w:val="20"/>
          <w:u w:val="single"/>
        </w:rPr>
        <w:t>SOCIETARIO.</w:t>
      </w:r>
    </w:p>
    <w:p w:rsidR="004E7ED9" w:rsidRDefault="004E7ED9" w:rsidP="004E7ED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</w:p>
    <w:p w:rsidR="004E7ED9" w:rsidRDefault="004E7ED9" w:rsidP="004E7ED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4E7ED9">
        <w:rPr>
          <w:rFonts w:ascii="Arial" w:hAnsi="Arial" w:cs="Arial"/>
          <w:i/>
          <w:sz w:val="20"/>
          <w:szCs w:val="20"/>
        </w:rPr>
        <w:t>Omissis</w:t>
      </w:r>
    </w:p>
    <w:p w:rsidR="004E7ED9" w:rsidRPr="004E7ED9" w:rsidRDefault="004E7ED9" w:rsidP="004E7ED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5018B">
        <w:rPr>
          <w:rFonts w:ascii="Arial" w:hAnsi="Arial" w:cs="Arial"/>
          <w:b/>
          <w:bCs/>
          <w:sz w:val="20"/>
          <w:szCs w:val="20"/>
          <w:u w:val="single"/>
        </w:rPr>
        <w:t>7) DETERMINAZIONE DEI COMPENSI SPETTANTI AI MEMBRI DEL COLLEGIO SINDACALE</w:t>
      </w:r>
    </w:p>
    <w:p w:rsidR="004E7ED9" w:rsidRDefault="004E7ED9" w:rsidP="004E7ED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</w:p>
    <w:p w:rsidR="004E7ED9" w:rsidRDefault="004E7ED9" w:rsidP="004E7ED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4E7ED9">
        <w:rPr>
          <w:rFonts w:ascii="Arial" w:hAnsi="Arial" w:cs="Arial"/>
          <w:i/>
          <w:sz w:val="20"/>
          <w:szCs w:val="20"/>
        </w:rPr>
        <w:t>Omissis</w:t>
      </w:r>
    </w:p>
    <w:p w:rsidR="004E7ED9" w:rsidRPr="004E7ED9" w:rsidRDefault="004E7ED9" w:rsidP="004E7ED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>Esaurito così l'Ordine del giorno, il Presidente toglie la seduta alle ore 18,45.</w:t>
      </w:r>
    </w:p>
    <w:p w:rsidR="0035018B" w:rsidRPr="0035018B" w:rsidRDefault="0035018B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7F1143" w:rsidRPr="0035018B" w:rsidRDefault="0035018B" w:rsidP="0035018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 xml:space="preserve">           </w:t>
      </w:r>
      <w:r w:rsidR="007F1143" w:rsidRPr="0035018B">
        <w:rPr>
          <w:rFonts w:ascii="Arial" w:hAnsi="Arial" w:cs="Arial"/>
          <w:sz w:val="20"/>
          <w:szCs w:val="20"/>
        </w:rPr>
        <w:t xml:space="preserve">Il Segretario </w:t>
      </w:r>
      <w:r w:rsidRP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ab/>
      </w:r>
      <w:r w:rsidR="007F1143" w:rsidRPr="0035018B">
        <w:rPr>
          <w:rFonts w:ascii="Arial" w:hAnsi="Arial" w:cs="Arial"/>
          <w:sz w:val="20"/>
          <w:szCs w:val="20"/>
        </w:rPr>
        <w:t>L’Amministratore unico</w:t>
      </w: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5018B">
        <w:rPr>
          <w:rFonts w:ascii="Arial" w:hAnsi="Arial" w:cs="Arial"/>
          <w:sz w:val="20"/>
          <w:szCs w:val="20"/>
        </w:rPr>
        <w:t xml:space="preserve">f.to dott.ssa Giulia Santin </w:t>
      </w:r>
      <w:r w:rsidR="0035018B" w:rsidRPr="0035018B">
        <w:rPr>
          <w:rFonts w:ascii="Arial" w:hAnsi="Arial" w:cs="Arial"/>
          <w:sz w:val="20"/>
          <w:szCs w:val="20"/>
        </w:rPr>
        <w:tab/>
      </w:r>
      <w:r w:rsidR="0035018B" w:rsidRPr="0035018B">
        <w:rPr>
          <w:rFonts w:ascii="Arial" w:hAnsi="Arial" w:cs="Arial"/>
          <w:sz w:val="20"/>
          <w:szCs w:val="20"/>
        </w:rPr>
        <w:tab/>
      </w:r>
      <w:r w:rsidR="0035018B" w:rsidRPr="0035018B">
        <w:rPr>
          <w:rFonts w:ascii="Arial" w:hAnsi="Arial" w:cs="Arial"/>
          <w:sz w:val="20"/>
          <w:szCs w:val="20"/>
        </w:rPr>
        <w:tab/>
      </w:r>
      <w:r w:rsidR="0035018B" w:rsidRPr="0035018B">
        <w:rPr>
          <w:rFonts w:ascii="Arial" w:hAnsi="Arial" w:cs="Arial"/>
          <w:sz w:val="20"/>
          <w:szCs w:val="20"/>
        </w:rPr>
        <w:tab/>
      </w:r>
      <w:r w:rsidR="0035018B" w:rsidRPr="0035018B">
        <w:rPr>
          <w:rFonts w:ascii="Arial" w:hAnsi="Arial" w:cs="Arial"/>
          <w:sz w:val="20"/>
          <w:szCs w:val="20"/>
        </w:rPr>
        <w:tab/>
      </w:r>
      <w:r w:rsidR="0035018B" w:rsidRPr="0035018B">
        <w:rPr>
          <w:rFonts w:ascii="Arial" w:hAnsi="Arial" w:cs="Arial"/>
          <w:sz w:val="20"/>
          <w:szCs w:val="20"/>
        </w:rPr>
        <w:tab/>
      </w:r>
      <w:r w:rsidRPr="0035018B">
        <w:rPr>
          <w:rFonts w:ascii="Arial" w:hAnsi="Arial" w:cs="Arial"/>
          <w:sz w:val="20"/>
          <w:szCs w:val="20"/>
        </w:rPr>
        <w:t xml:space="preserve">f.to dott. Marco Tullio </w:t>
      </w:r>
      <w:proofErr w:type="spellStart"/>
      <w:r w:rsidRPr="0035018B">
        <w:rPr>
          <w:rFonts w:ascii="Arial" w:hAnsi="Arial" w:cs="Arial"/>
          <w:sz w:val="20"/>
          <w:szCs w:val="20"/>
        </w:rPr>
        <w:t>Petrangelo</w:t>
      </w:r>
      <w:proofErr w:type="spellEnd"/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F1143" w:rsidRPr="0035018B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F1143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E7ED9" w:rsidRDefault="004E7ED9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E7ED9" w:rsidRDefault="004E7ED9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E7ED9" w:rsidRDefault="004E7ED9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E7ED9" w:rsidRDefault="004E7ED9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E7ED9" w:rsidRDefault="004E7ED9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F1143" w:rsidRPr="004E7ED9" w:rsidRDefault="007F1143" w:rsidP="003501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  <w:sz w:val="18"/>
          <w:szCs w:val="20"/>
        </w:rPr>
      </w:pPr>
      <w:r w:rsidRPr="004E7ED9">
        <w:rPr>
          <w:rFonts w:ascii="Arial" w:hAnsi="Arial" w:cs="Arial"/>
          <w:i/>
          <w:iCs/>
          <w:sz w:val="18"/>
          <w:szCs w:val="20"/>
        </w:rPr>
        <w:lastRenderedPageBreak/>
        <w:t>Copia su supporto informatico conforme al documento originale formato su supporto cartaceo, ai sensi degli articoli</w:t>
      </w:r>
      <w:r w:rsidR="004E7ED9" w:rsidRPr="004E7ED9">
        <w:rPr>
          <w:rFonts w:ascii="Arial" w:hAnsi="Arial" w:cs="Arial"/>
          <w:i/>
          <w:iCs/>
          <w:sz w:val="18"/>
          <w:szCs w:val="20"/>
        </w:rPr>
        <w:t xml:space="preserve"> </w:t>
      </w:r>
      <w:r w:rsidRPr="004E7ED9">
        <w:rPr>
          <w:rFonts w:ascii="Arial" w:hAnsi="Arial" w:cs="Arial"/>
          <w:i/>
          <w:iCs/>
          <w:sz w:val="18"/>
          <w:szCs w:val="20"/>
        </w:rPr>
        <w:t>38 e 47 del D.P.R. 445/2000, che si trasmette ad uso Registro Imprese.</w:t>
      </w:r>
    </w:p>
    <w:p w:rsidR="002A524D" w:rsidRPr="004E7ED9" w:rsidRDefault="007F1143" w:rsidP="004E7ED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4E7ED9">
        <w:rPr>
          <w:rFonts w:ascii="Arial" w:hAnsi="Arial" w:cs="Arial"/>
          <w:i/>
          <w:iCs/>
          <w:sz w:val="18"/>
          <w:szCs w:val="20"/>
        </w:rPr>
        <w:t xml:space="preserve">Imposta di bollo assolta in modo virtuale tramite la Camera di Commercio di Pordenone autorizzata con </w:t>
      </w:r>
      <w:proofErr w:type="spellStart"/>
      <w:r w:rsidRPr="004E7ED9">
        <w:rPr>
          <w:rFonts w:ascii="Arial" w:hAnsi="Arial" w:cs="Arial"/>
          <w:i/>
          <w:iCs/>
          <w:sz w:val="18"/>
          <w:szCs w:val="20"/>
        </w:rPr>
        <w:t>provv</w:t>
      </w:r>
      <w:proofErr w:type="spellEnd"/>
      <w:r w:rsidRPr="004E7ED9">
        <w:rPr>
          <w:rFonts w:ascii="Arial" w:hAnsi="Arial" w:cs="Arial"/>
          <w:i/>
          <w:iCs/>
          <w:sz w:val="18"/>
          <w:szCs w:val="20"/>
        </w:rPr>
        <w:t>. Prot.</w:t>
      </w:r>
      <w:r w:rsidR="004E7ED9" w:rsidRPr="004E7ED9">
        <w:rPr>
          <w:rFonts w:ascii="Arial" w:hAnsi="Arial" w:cs="Arial"/>
          <w:i/>
          <w:iCs/>
          <w:sz w:val="18"/>
          <w:szCs w:val="20"/>
        </w:rPr>
        <w:t xml:space="preserve"> </w:t>
      </w:r>
      <w:r w:rsidRPr="004E7ED9">
        <w:rPr>
          <w:rFonts w:ascii="Arial" w:hAnsi="Arial" w:cs="Arial"/>
          <w:i/>
          <w:iCs/>
          <w:sz w:val="18"/>
          <w:szCs w:val="20"/>
        </w:rPr>
        <w:t xml:space="preserve">5458/2000 del 24.06.2000 del Ministero delle Finanze – </w:t>
      </w:r>
      <w:proofErr w:type="spellStart"/>
      <w:r w:rsidRPr="004E7ED9">
        <w:rPr>
          <w:rFonts w:ascii="Arial" w:hAnsi="Arial" w:cs="Arial"/>
          <w:i/>
          <w:iCs/>
          <w:sz w:val="18"/>
          <w:szCs w:val="20"/>
        </w:rPr>
        <w:t>Dip</w:t>
      </w:r>
      <w:proofErr w:type="spellEnd"/>
      <w:r w:rsidRPr="004E7ED9">
        <w:rPr>
          <w:rFonts w:ascii="Arial" w:hAnsi="Arial" w:cs="Arial"/>
          <w:i/>
          <w:iCs/>
          <w:sz w:val="18"/>
          <w:szCs w:val="20"/>
        </w:rPr>
        <w:t xml:space="preserve">. </w:t>
      </w:r>
      <w:proofErr w:type="gramStart"/>
      <w:r w:rsidRPr="004E7ED9">
        <w:rPr>
          <w:rFonts w:ascii="Arial" w:hAnsi="Arial" w:cs="Arial"/>
          <w:i/>
          <w:iCs/>
          <w:sz w:val="18"/>
          <w:szCs w:val="20"/>
        </w:rPr>
        <w:t>delle</w:t>
      </w:r>
      <w:proofErr w:type="gramEnd"/>
      <w:r w:rsidRPr="004E7ED9">
        <w:rPr>
          <w:rFonts w:ascii="Arial" w:hAnsi="Arial" w:cs="Arial"/>
          <w:i/>
          <w:iCs/>
          <w:sz w:val="18"/>
          <w:szCs w:val="20"/>
        </w:rPr>
        <w:t xml:space="preserve"> Entrate – Ufficio delle Entrate di Pordenone.</w:t>
      </w:r>
    </w:p>
    <w:sectPr w:rsidR="002A524D" w:rsidRPr="004E7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2E6C"/>
    <w:multiLevelType w:val="hybridMultilevel"/>
    <w:tmpl w:val="4336B8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7EB4"/>
    <w:multiLevelType w:val="hybridMultilevel"/>
    <w:tmpl w:val="A72A6FA2"/>
    <w:lvl w:ilvl="0" w:tplc="119001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149B2"/>
    <w:multiLevelType w:val="hybridMultilevel"/>
    <w:tmpl w:val="D122AED0"/>
    <w:lvl w:ilvl="0" w:tplc="B1385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B844456"/>
    <w:multiLevelType w:val="hybridMultilevel"/>
    <w:tmpl w:val="AB36B3E8"/>
    <w:lvl w:ilvl="0" w:tplc="0410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>
    <w:nsid w:val="1FB10F94"/>
    <w:multiLevelType w:val="hybridMultilevel"/>
    <w:tmpl w:val="9060525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D7A40BF"/>
    <w:multiLevelType w:val="hybridMultilevel"/>
    <w:tmpl w:val="4F04C110"/>
    <w:lvl w:ilvl="0" w:tplc="BBD68B0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A07E5"/>
    <w:multiLevelType w:val="hybridMultilevel"/>
    <w:tmpl w:val="36B29F5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1FE6793"/>
    <w:multiLevelType w:val="hybridMultilevel"/>
    <w:tmpl w:val="76622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A496F"/>
    <w:multiLevelType w:val="hybridMultilevel"/>
    <w:tmpl w:val="D6DA05C2"/>
    <w:lvl w:ilvl="0" w:tplc="C11035CE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>
    <w:nsid w:val="45B913EE"/>
    <w:multiLevelType w:val="hybridMultilevel"/>
    <w:tmpl w:val="90A20BCC"/>
    <w:lvl w:ilvl="0" w:tplc="B1385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564FDC"/>
    <w:multiLevelType w:val="hybridMultilevel"/>
    <w:tmpl w:val="FDB0E798"/>
    <w:lvl w:ilvl="0" w:tplc="3AEAAA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03C475D"/>
    <w:multiLevelType w:val="hybridMultilevel"/>
    <w:tmpl w:val="DEF62D16"/>
    <w:lvl w:ilvl="0" w:tplc="9A30D18E">
      <w:start w:val="15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50B4607"/>
    <w:multiLevelType w:val="hybridMultilevel"/>
    <w:tmpl w:val="E6D65CF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14F2D4A6">
      <w:start w:val="7"/>
      <w:numFmt w:val="bullet"/>
      <w:lvlText w:val="−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EC02DAF"/>
    <w:multiLevelType w:val="hybridMultilevel"/>
    <w:tmpl w:val="BDC60E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40749"/>
    <w:multiLevelType w:val="hybridMultilevel"/>
    <w:tmpl w:val="25BE4F42"/>
    <w:lvl w:ilvl="0" w:tplc="3AEAA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EE6FF8"/>
    <w:multiLevelType w:val="hybridMultilevel"/>
    <w:tmpl w:val="809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3"/>
    <w:rsid w:val="0035018B"/>
    <w:rsid w:val="003838E6"/>
    <w:rsid w:val="004D6DBB"/>
    <w:rsid w:val="004E7ED9"/>
    <w:rsid w:val="007B09B8"/>
    <w:rsid w:val="007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A7380-29E2-4692-9EAB-12DCD19D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A6F4-1262-4ED9-879E-4F185283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 Giulia</dc:creator>
  <cp:lastModifiedBy>Stefano Viel</cp:lastModifiedBy>
  <cp:revision>2</cp:revision>
  <dcterms:created xsi:type="dcterms:W3CDTF">2014-06-10T12:19:00Z</dcterms:created>
  <dcterms:modified xsi:type="dcterms:W3CDTF">2014-06-10T13:18:00Z</dcterms:modified>
</cp:coreProperties>
</file>